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DD0F2C" w:rsidRPr="00DD0F2C">
        <w:rPr>
          <w:rFonts w:ascii="Times New Roman CYR" w:hAnsi="Times New Roman CYR"/>
          <w:szCs w:val="28"/>
        </w:rPr>
        <w:t>ПРАВОВЫЕ ОСНОВЫ ОБЕСПЕЧЕНИЯ ЭКОНОМИЧЕСКОЙ БЕЗОПАСНОСТИ И ПРАВОВЫЕ РИСКИ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DD0F2C" w:rsidRPr="00DD0F2C">
        <w:rPr>
          <w:rFonts w:ascii="Times New Roman CYR" w:hAnsi="Times New Roman CYR"/>
          <w:lang w:eastAsia="ru-RU"/>
        </w:rPr>
        <w:t>Правовые основы обеспечения экономической безопасности и правовые риски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D52C32">
        <w:rPr>
          <w:rFonts w:ascii="Times New Roman CYR" w:hAnsi="Times New Roman CYR"/>
          <w:szCs w:val="23"/>
          <w:lang w:eastAsia="ru-RU"/>
        </w:rPr>
        <w:t>6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1. Российская федерация как субъект охраны экономической безопасности.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2. Конституция РФ и Федеральный закон от 28 декабря 2010 года№ 390-ФЗ «О безопасности» - как  основа нормативн</w:t>
      </w:r>
      <w:proofErr w:type="gramStart"/>
      <w:r w:rsidRPr="007E2DE3">
        <w:rPr>
          <w:szCs w:val="28"/>
        </w:rPr>
        <w:t>о-</w:t>
      </w:r>
      <w:proofErr w:type="gramEnd"/>
      <w:r w:rsidRPr="007E2DE3">
        <w:rPr>
          <w:szCs w:val="28"/>
        </w:rPr>
        <w:t xml:space="preserve"> правового регулирования  обеспечения экономической безопасности.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3. Значение права в обеспечении экономической безопасности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4. Федеральные законы и иные нормативно-правовые акты, направленные  на обеспечение безопасности государства, бизнеса и населения.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5. Принципы обеспечения государственной безопасности.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6. Региональные проблемы экономической безопасности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7. Основные задачи по обеспечению экономической безопасности регионов.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8. Формирование структур, обеспечивающих экономическую безопасность региона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9. Первоочередные меры, направленные на обеспечение экономической безопасности регионов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10. Формирование региональной системы экономической безопасности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11. Основные сферы проявления угроз безопасности предпринимательству.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12. Экономические угрозы экономической безопасности предпринимательству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13.  Социальные и информационные угрозы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14.  Внешние и внутренние макроэкономические угрозы экономической безопасности хозяйствующего субъекта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lastRenderedPageBreak/>
        <w:t>15. Внешние и внутренние микроэкономические угрозы экономической безопасности хозяйствующего субъекта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16. Угрозы экономической безопасности хозяйствующего субъекта проявляющие  в сфере информационной безопасности.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17. Кадровое обеспечение экономической безопасности предпринимательства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18. </w:t>
      </w:r>
      <w:proofErr w:type="gramStart"/>
      <w:r w:rsidRPr="007E2DE3">
        <w:rPr>
          <w:szCs w:val="28"/>
        </w:rPr>
        <w:t>Экономические методы</w:t>
      </w:r>
      <w:proofErr w:type="gramEnd"/>
      <w:r w:rsidRPr="007E2DE3">
        <w:rPr>
          <w:szCs w:val="28"/>
        </w:rPr>
        <w:t xml:space="preserve"> внутрифирменного управления защитой бизнеса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19. Экономические модели защиты предпринимательства от рисков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20. Основные документы, регулирующие вопросы обеспечения экономической безопасности личности.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21. Место  и роль государства в защите экономических интересов страны в целом и каждого человека в отдельности.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22. Направления по преодолению пробелов и недостатков в сфере правового обеспечения экономической безопасности личности.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23. Обеспечение занятости населения – основная составляющая в обеспечении экономической безопасности личности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24. Аспекты социально-экономической безопасности личности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25. Государственные  административные меры по повышению уровня жизни.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26. Меры по защите личных сбережений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27. Понятие и виды правовых  рисков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28. Правовые  риски: законодательные, правоприменительные, интерпретационные.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29. Правовые риски в банковской сфере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30. Правовые риски в деятельности хозяйствующих субъектов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31. Классификация нарушений нормативных предписаний в зависимости от сферы их совершения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lastRenderedPageBreak/>
        <w:t>32. Внутренние факторы нарушений государственных нормативов и стандартов и их последствия.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33.  Внешние факторы нарушений государственных нормативов и стандартов и их последствия.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34.  Организация внутреннего </w:t>
      </w:r>
      <w:proofErr w:type="gramStart"/>
      <w:r w:rsidRPr="007E2DE3">
        <w:rPr>
          <w:szCs w:val="28"/>
        </w:rPr>
        <w:t>контроля за</w:t>
      </w:r>
      <w:proofErr w:type="gramEnd"/>
      <w:r w:rsidRPr="007E2DE3">
        <w:rPr>
          <w:szCs w:val="28"/>
        </w:rPr>
        <w:t xml:space="preserve"> соблюдением нормативов и стандартов в деятельности хозяйствующего субъекта.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35. Основные разделы Положения об организации и осуществлении внутреннего </w:t>
      </w:r>
      <w:proofErr w:type="gramStart"/>
      <w:r w:rsidRPr="007E2DE3">
        <w:rPr>
          <w:szCs w:val="28"/>
        </w:rPr>
        <w:t>контроля за</w:t>
      </w:r>
      <w:proofErr w:type="gramEnd"/>
      <w:r w:rsidRPr="007E2DE3">
        <w:rPr>
          <w:szCs w:val="28"/>
        </w:rPr>
        <w:t xml:space="preserve"> соблюдением государственных нормативов и корпоративных стандартов в деятельности хозяйствующего субъекта.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36. Незаключенные и недействительные сделки, как правовой риск в деятельности хозяйствующего субъекта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37. Риски недружественного поглощения  (</w:t>
      </w:r>
      <w:proofErr w:type="spellStart"/>
      <w:r w:rsidRPr="007E2DE3">
        <w:rPr>
          <w:szCs w:val="28"/>
        </w:rPr>
        <w:t>рейдерства</w:t>
      </w:r>
      <w:proofErr w:type="spellEnd"/>
      <w:r w:rsidRPr="007E2DE3">
        <w:rPr>
          <w:szCs w:val="28"/>
        </w:rPr>
        <w:t>)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38. Недобросовестная конкуренция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39. Картельные соглашения.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40. Управление правовыми рисками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41. Управление правовыми рисками банка.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42. Принципы управления правовыми рисками банка.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43. </w:t>
      </w:r>
      <w:proofErr w:type="spellStart"/>
      <w:r w:rsidRPr="007E2DE3">
        <w:rPr>
          <w:szCs w:val="28"/>
        </w:rPr>
        <w:t>Митигирование</w:t>
      </w:r>
      <w:proofErr w:type="spellEnd"/>
      <w:r w:rsidRPr="007E2DE3">
        <w:rPr>
          <w:szCs w:val="28"/>
        </w:rPr>
        <w:t xml:space="preserve"> правовых рисков.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44. </w:t>
      </w:r>
      <w:proofErr w:type="spellStart"/>
      <w:r w:rsidRPr="007E2DE3">
        <w:rPr>
          <w:szCs w:val="28"/>
        </w:rPr>
        <w:t>Митигирование</w:t>
      </w:r>
      <w:proofErr w:type="spellEnd"/>
      <w:r w:rsidRPr="007E2DE3">
        <w:rPr>
          <w:szCs w:val="28"/>
        </w:rPr>
        <w:t xml:space="preserve"> регуляторных рисков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45. </w:t>
      </w:r>
      <w:proofErr w:type="spellStart"/>
      <w:r w:rsidRPr="007E2DE3">
        <w:rPr>
          <w:szCs w:val="28"/>
        </w:rPr>
        <w:t>Митигирование</w:t>
      </w:r>
      <w:proofErr w:type="spellEnd"/>
      <w:r w:rsidRPr="007E2DE3">
        <w:rPr>
          <w:szCs w:val="28"/>
        </w:rPr>
        <w:t xml:space="preserve"> договорных рисков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 xml:space="preserve">46. </w:t>
      </w:r>
      <w:proofErr w:type="spellStart"/>
      <w:r w:rsidRPr="007E2DE3">
        <w:rPr>
          <w:szCs w:val="28"/>
        </w:rPr>
        <w:t>Митигирование</w:t>
      </w:r>
      <w:proofErr w:type="spellEnd"/>
      <w:r w:rsidRPr="007E2DE3">
        <w:rPr>
          <w:szCs w:val="28"/>
        </w:rPr>
        <w:t xml:space="preserve"> рисков из иных непубличных отношений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47. Матрица правовых рисков</w:t>
      </w:r>
    </w:p>
    <w:p w:rsidR="00DD0F2C" w:rsidRPr="007E2DE3" w:rsidRDefault="00DD0F2C" w:rsidP="00DD0F2C">
      <w:pPr>
        <w:rPr>
          <w:szCs w:val="28"/>
        </w:rPr>
      </w:pPr>
      <w:r w:rsidRPr="007E2DE3">
        <w:rPr>
          <w:szCs w:val="28"/>
        </w:rPr>
        <w:t>48. Этапы процедуры разработки и согласования матрицы правовых рисков.</w:t>
      </w:r>
    </w:p>
    <w:p w:rsidR="00BF4985" w:rsidRPr="008923D7" w:rsidRDefault="00BF4985" w:rsidP="00BF4985">
      <w:pPr>
        <w:rPr>
          <w:szCs w:val="28"/>
        </w:rPr>
      </w:pPr>
    </w:p>
    <w:p w:rsidR="00AA4126" w:rsidRDefault="00AA4126" w:rsidP="004A714C"/>
    <w:p w:rsidR="00816496" w:rsidRPr="009D344B" w:rsidRDefault="00816496" w:rsidP="00816496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0" w:name="_Toc149688209"/>
      <w:bookmarkStart w:id="1" w:name="_Toc149688265"/>
      <w:bookmarkStart w:id="2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0"/>
      <w:bookmarkEnd w:id="1"/>
      <w:bookmarkEnd w:id="2"/>
    </w:p>
    <w:p w:rsidR="00816496" w:rsidRDefault="00816496" w:rsidP="00816496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800"/>
        <w:gridCol w:w="3705"/>
        <w:gridCol w:w="2206"/>
        <w:gridCol w:w="1338"/>
      </w:tblGrid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</w:rPr>
              <w:t>. УЧЕБНО-МЕТОДИЧЕСКОЕ И ИНФОРМАЦИОННОЕ ОБЕСПЕЧЕНИЕ ДИСЦИПЛИНЫ (МОДУЛЯ)</w:t>
            </w:r>
          </w:p>
        </w:tc>
      </w:tr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lastRenderedPageBreak/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.1.1.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D0F2C" w:rsidRPr="00DD0F2C" w:rsidTr="00D24BF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Карзаева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Наталья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Николаевна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Основы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экономической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безопасности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о-</w:t>
            </w:r>
            <w:proofErr w:type="gram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издательский центр ИНФРА-М",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Карзаева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Наталья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Николаевна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Основы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экономической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безопасности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о-</w:t>
            </w:r>
            <w:proofErr w:type="gram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Крохичева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Г.Е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.,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Лесняк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В.В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СТРАТЕГИЯ ОБЕСПЕЧЕНИЯ ЭКОНОМИЧЕСКОЙ БЕЗОПАСНОСТИ КОММЕРЧЕСКОЙ ОРГАНИЗАЦИИ: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ДГТУ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.1.2.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D0F2C" w:rsidRPr="00DD0F2C" w:rsidTr="00D24BF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Воробьева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Н.В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Основы международной экономической безопасности: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Алексашина,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А.В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., Андреева,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В.И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Направления развития инструментов обеспечения экономической безопасности, методов анализа и аудита: материалы конференции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Москва: Научный консультант,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ФГБОУ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ВО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РГАУ-МСХА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имени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К.А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 Тимирязева,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Авдийский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Владимир Иванович, Кузнецова Юлия Анатольевна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Управление операционными рисками как фактор обеспечения экономической безопасности хозяйствующего субъекта: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о-</w:t>
            </w:r>
            <w:proofErr w:type="gram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издательский центр ИНФРА-М",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Коллектив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авторов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ЭКОНОМИКО-ПРАВОВОЕ ОБЕСПЕЧЕНИЕ ЭКОНОМИЧЕСКОЙ БЕЗОПАСНОСТИ ПРЕДПРИЯТИЙ И ОРГАНИЗАЦИЙ.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Сборник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научных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статей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сборник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ДГТУ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.1.3.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D0F2C" w:rsidRPr="00DD0F2C" w:rsidTr="00D24BF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gram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у</w:t>
            </w:r>
            <w:proofErr w:type="gram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Ростов н/Д.: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ИЦ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DD0F2C" w:rsidRPr="00DD0F2C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</w:tbl>
    <w:p w:rsidR="00DD0F2C" w:rsidRPr="00DD0F2C" w:rsidRDefault="00DD0F2C" w:rsidP="00DD0F2C">
      <w:pPr>
        <w:spacing w:after="200" w:line="276" w:lineRule="auto"/>
        <w:ind w:firstLine="0"/>
        <w:jc w:val="left"/>
        <w:rPr>
          <w:rFonts w:asciiTheme="minorHAnsi" w:eastAsiaTheme="minorEastAsia" w:hAnsiTheme="minorHAnsi" w:cstheme="minorBidi"/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57"/>
        <w:gridCol w:w="8946"/>
      </w:tblGrid>
      <w:tr w:rsidR="00DD0F2C" w:rsidRPr="00DD0F2C" w:rsidTr="00DD0F2C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"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", 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iprbookshop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/</w:t>
            </w:r>
          </w:p>
        </w:tc>
      </w:tr>
      <w:tr w:rsidR="00DD0F2C" w:rsidRPr="00DD0F2C" w:rsidTr="00DD0F2C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/</w:t>
            </w:r>
          </w:p>
        </w:tc>
      </w:tr>
      <w:tr w:rsidR="00DD0F2C" w:rsidRPr="00DD0F2C" w:rsidTr="00DD0F2C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9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"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Знаниум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", 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  <w:tr w:rsidR="00DD0F2C" w:rsidRPr="00DD0F2C" w:rsidTr="00DD0F2C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9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Научно-техническая библиотека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ntb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DD0F2C" w:rsidRPr="00DD0F2C" w:rsidTr="00DD0F2C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6.3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DD0F2C" w:rsidRPr="00DD0F2C" w:rsidTr="00DD0F2C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6.3.1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0F2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DD0F2C" w:rsidRPr="00DD0F2C" w:rsidTr="00DD0F2C">
        <w:trPr>
          <w:trHeight w:hRule="exact" w:val="277"/>
        </w:trPr>
        <w:tc>
          <w:tcPr>
            <w:tcW w:w="97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DD0F2C" w:rsidRPr="00DD0F2C" w:rsidTr="00DD0F2C">
        <w:trPr>
          <w:trHeight w:hRule="exact" w:val="28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.3.2.1</w:t>
            </w:r>
          </w:p>
        </w:tc>
        <w:tc>
          <w:tcPr>
            <w:tcW w:w="8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DD0F2C" w:rsidRPr="00DD0F2C" w:rsidTr="00DD0F2C">
        <w:trPr>
          <w:trHeight w:hRule="exact" w:val="28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.3.2.2</w:t>
            </w:r>
          </w:p>
        </w:tc>
        <w:tc>
          <w:tcPr>
            <w:tcW w:w="8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garant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DD0F2C" w:rsidRPr="00DD0F2C" w:rsidTr="00DD0F2C">
        <w:trPr>
          <w:trHeight w:hRule="exact" w:val="28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.3.2.3</w:t>
            </w:r>
          </w:p>
        </w:tc>
        <w:tc>
          <w:tcPr>
            <w:tcW w:w="8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ecsocman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hse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Социология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Менеджмент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"</w:t>
            </w:r>
          </w:p>
        </w:tc>
      </w:tr>
      <w:tr w:rsidR="00DD0F2C" w:rsidRPr="00DD0F2C" w:rsidTr="00DD0F2C">
        <w:trPr>
          <w:trHeight w:hRule="exact" w:val="28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="00DD0F2C"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.3.2.4</w:t>
            </w:r>
          </w:p>
        </w:tc>
        <w:tc>
          <w:tcPr>
            <w:tcW w:w="8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institutiones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DD0F2C" w:rsidRPr="00DD0F2C" w:rsidTr="00DD0F2C">
        <w:trPr>
          <w:trHeight w:hRule="exact" w:val="279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95636A" w:rsidP="00DD0F2C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bookmarkStart w:id="3" w:name="_GoBack"/>
            <w:bookmarkEnd w:id="3"/>
            <w:r w:rsidR="00DD0F2C"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.3.2.5</w:t>
            </w:r>
          </w:p>
        </w:tc>
        <w:tc>
          <w:tcPr>
            <w:tcW w:w="8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0F2C" w:rsidRPr="00DD0F2C" w:rsidRDefault="00DD0F2C" w:rsidP="00DD0F2C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D0F2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rostov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rbc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 xml:space="preserve"> - Информационная система "</w:t>
            </w:r>
            <w:proofErr w:type="spellStart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РосБизнесКонсалтинг</w:t>
            </w:r>
            <w:proofErr w:type="spellEnd"/>
            <w:r w:rsidRPr="00DD0F2C">
              <w:rPr>
                <w:rFonts w:eastAsiaTheme="minorEastAsia"/>
                <w:color w:val="000000"/>
                <w:sz w:val="19"/>
                <w:szCs w:val="19"/>
              </w:rPr>
              <w:t>"</w:t>
            </w:r>
          </w:p>
        </w:tc>
      </w:tr>
    </w:tbl>
    <w:p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F7" w:rsidRDefault="007242F7">
      <w:pPr>
        <w:spacing w:line="240" w:lineRule="auto"/>
      </w:pPr>
      <w:r>
        <w:separator/>
      </w:r>
    </w:p>
  </w:endnote>
  <w:endnote w:type="continuationSeparator" w:id="0">
    <w:p w:rsidR="007242F7" w:rsidRDefault="00724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540818"/>
      <w:docPartObj>
        <w:docPartGallery w:val="Page Numbers (Bottom of Page)"/>
        <w:docPartUnique/>
      </w:docPartObj>
    </w:sdtPr>
    <w:sdtEndPr/>
    <w:sdtContent>
      <w:p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771">
          <w:rPr>
            <w:noProof/>
          </w:rPr>
          <w:t>5</w:t>
        </w:r>
        <w:r>
          <w:fldChar w:fldCharType="end"/>
        </w:r>
      </w:p>
    </w:sdtContent>
  </w:sdt>
  <w:p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36A">
          <w:rPr>
            <w:noProof/>
          </w:rPr>
          <w:t>3</w:t>
        </w:r>
        <w:r>
          <w:fldChar w:fldCharType="end"/>
        </w:r>
      </w:p>
    </w:sdtContent>
  </w:sdt>
  <w:p w:rsidR="003124C8" w:rsidRDefault="007242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F7" w:rsidRDefault="007242F7">
      <w:pPr>
        <w:spacing w:line="240" w:lineRule="auto"/>
      </w:pPr>
      <w:r>
        <w:separator/>
      </w:r>
    </w:p>
  </w:footnote>
  <w:footnote w:type="continuationSeparator" w:id="0">
    <w:p w:rsidR="007242F7" w:rsidRDefault="007242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270FCA"/>
    <w:rsid w:val="0030330A"/>
    <w:rsid w:val="003970A7"/>
    <w:rsid w:val="00461951"/>
    <w:rsid w:val="004A714C"/>
    <w:rsid w:val="004B1A7A"/>
    <w:rsid w:val="00697DEB"/>
    <w:rsid w:val="007242F7"/>
    <w:rsid w:val="0074533B"/>
    <w:rsid w:val="00762234"/>
    <w:rsid w:val="007B7A19"/>
    <w:rsid w:val="00816496"/>
    <w:rsid w:val="008C50C2"/>
    <w:rsid w:val="008E7771"/>
    <w:rsid w:val="00952070"/>
    <w:rsid w:val="0095636A"/>
    <w:rsid w:val="00AA4126"/>
    <w:rsid w:val="00AF3148"/>
    <w:rsid w:val="00B64C11"/>
    <w:rsid w:val="00B956D1"/>
    <w:rsid w:val="00BF4985"/>
    <w:rsid w:val="00C53C05"/>
    <w:rsid w:val="00CA1B1F"/>
    <w:rsid w:val="00D52C32"/>
    <w:rsid w:val="00DD0F2C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2020-09-13T11:57:00Z</dcterms:created>
  <dcterms:modified xsi:type="dcterms:W3CDTF">2020-09-13T16:43:00Z</dcterms:modified>
</cp:coreProperties>
</file>